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84769051"/>
        <w:docPartObj>
          <w:docPartGallery w:val="Cover Pages"/>
          <w:docPartUnique/>
        </w:docPartObj>
      </w:sdtPr>
      <w:sdtContent>
        <w:p w14:paraId="2DC42717" w14:textId="43552105" w:rsidR="00826D89" w:rsidRDefault="00826D89" w:rsidP="002A6994">
          <w:r>
            <w:rPr>
              <w:noProof/>
            </w:rPr>
            <mc:AlternateContent>
              <mc:Choice Requires="wpg">
                <w:drawing>
                  <wp:anchor distT="0" distB="0" distL="114300" distR="114300" simplePos="0" relativeHeight="251659264" behindDoc="1" locked="0" layoutInCell="1" allowOverlap="1" wp14:anchorId="27A8D53F" wp14:editId="69DA8F31">
                    <wp:simplePos x="0" y="0"/>
                    <wp:positionH relativeFrom="page">
                      <wp:align>center</wp:align>
                    </wp:positionH>
                    <wp:positionV relativeFrom="page">
                      <wp:align>center</wp:align>
                    </wp:positionV>
                    <wp:extent cx="6988175" cy="9123045"/>
                    <wp:effectExtent l="0" t="0" r="3175" b="0"/>
                    <wp:wrapNone/>
                    <wp:docPr id="193" name="Group 193"/>
                    <wp:cNvGraphicFramePr/>
                    <a:graphic xmlns:a="http://schemas.openxmlformats.org/drawingml/2006/main">
                      <a:graphicData uri="http://schemas.microsoft.com/office/word/2010/wordprocessingGroup">
                        <wpg:wgp>
                          <wpg:cNvGrpSpPr/>
                          <wpg:grpSpPr>
                            <a:xfrm>
                              <a:off x="0" y="0"/>
                              <a:ext cx="6988649" cy="9123528"/>
                              <a:chOff x="0" y="0"/>
                              <a:chExt cx="6988649"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326918" w14:textId="3A50F253" w:rsidR="00826D89" w:rsidRDefault="00826D89">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130649" y="13335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696000C1" w14:textId="0C154738" w:rsidR="00826D89" w:rsidRDefault="00826D89">
                                      <w:pPr>
                                        <w:pStyle w:val="NoSpacing"/>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 xml:space="preserve">Mernda Calisthenics Conflict of interest procedure                 </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27A8D53F" id="Group 193" o:spid="_x0000_s1026" style="position:absolute;margin-left:0;margin-top:0;width:550.25pt;height:718.35pt;z-index:-251657216;mso-height-percent:909;mso-position-horizontal:center;mso-position-horizontal-relative:page;mso-position-vertical:center;mso-position-vertical-relative:page;mso-height-percent:909" coordsize="69886,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LkwQMAAOYOAAAOAAAAZHJzL2Uyb0RvYy54bWzsV21v2zYQ/j5g/4Hg98WS/BJbiFKk6RIM&#10;CNqgydDPNEW9oBLJkXSk7NfvSIqy5zht4GLZhhYwZL7cHXkP7x4ez970bYMemNK14BmOTyKMGKci&#10;r3mZ4d/vr35ZYqQN4TlpBGcZfmQavzn/+aezTqYsEZVocqYQGOE67WSGK2NkOploWrGW6BMhGYfJ&#10;QqiWGOiqcpIr0oH1tpkkUbSYdELlUgnKtIbRd34Snzv7RcGo+VAUmhnUZBj2ZtxXue/afifnZyQt&#10;FZFVTYdtkCN20ZKaw6KjqXfEELRR9RNTbU2V0KIwJ1S0E1EUNWXOB/Amjva8uVZiI50vZdqVcoQJ&#10;oN3D6Wiz9P3DrUJ1Dme3mmLESQuH5NZFdgDg6WSZgtS1knfyVg0Dpe9Zj/tCtfYffEG9A/ZxBJb1&#10;BlEYXKyWy8VshRGFuVWcTOfJ0kNPKzifJ3q0+vUrmpOw8MTub9xOJyGM9BYp/W1I3VVEMncA2mIw&#10;IjULSH2EACO8bBigNfNoOckRKp1qQO3FOC3nyyiCOLU4xdPTeAEdgHz0lqRSaXPNRItsI8MKNuAC&#10;jzzcaONFg4hdVYumzq/qpnEdm1XsslHogUA+EEoZN/GwwN8kG27lubCa3qgdAayDP65lHhtm5Rr+&#10;kRUQRHDSiduMS9+nC7k9VCRnfv05uBrcGzWcs86glS5g/dF2/CXbfpeDvFVlLvtH5ejryqOGW1lw&#10;Myq3NRfqkIFmhK/w8gEkD41FaS3yRwgcJTz3aEmvaji6G6LNLVFANnDcQKDmA3yKRnQZFkMLo0qo&#10;Pw+NW3mIbJjFqAPyyrD+Y0MUw6j5jUPMr+LZzLKd68zmpwl01O7MeneGb9pLAfEQA1VL6ppW3jSh&#10;WSjRfgKevbCrwhThFNbOMDUqdC6NJ1VgasouLpwYMJwk5obfSWqNW1RtaN73n4iSQ/waoIj3IuQZ&#10;SffC2MtaTS4uNkYUtYvxLa4D3pDzlqleJfnnh5J/fkTyz6LVbBqIcKTKXQqYR8kKbrkfFBDo5f9J&#10;AaZf98BP26h9XTZwBDDSwek0nm/5IMztEAJIHs0I6++QDxaBD+5tDr8VPdQCiz06QKaHCcuCQxw8&#10;UxXE08jVSe76n07hhrQKcJmFcmiXHZLTBH6ukPpnCoR1+UxxgOCWWsDuHKfvVwnh6h3qERv13lvX&#10;OlAzvOBqPlwQvEDxtQuC/HOA7NmCwLKBr7hDMPwbJUJIfF8jDAWDrxHClOeEYepoSviPFQnuvQCP&#10;KVdnDg8/+1rb7buiYvs8Pf8LAAD//wMAUEsDBBQABgAIAAAAIQDx/OT53QAAAAcBAAAPAAAAZHJz&#10;L2Rvd25yZXYueG1sTI/NTsMwEITvSH0Haytxo3YKBJTGqfhRuXCi0HJ1420SYa9N7LTp2+Nygctq&#10;VrOa+bZcjtawA/ahcyQhmwlgSLXTHTUSPt5XV/fAQlSklXGEEk4YYFlNLkpVaHekNzysY8NSCIVC&#10;SWhj9AXnoW7RqjBzHil5e9dbFdPaN1z36pjCreFzIXJuVUepoVUen1qsv9aDlYDb5pR9mtf54zg8&#10;r2r/8q39Jpfycjo+LIBFHOPfMZzxEzpUiWnnBtKBGQnpkfg7z14mxC2wXVI31/kd8Krk//mrHwAA&#10;AP//AwBQSwECLQAUAAYACAAAACEAtoM4kv4AAADhAQAAEwAAAAAAAAAAAAAAAAAAAAAAW0NvbnRl&#10;bnRfVHlwZXNdLnhtbFBLAQItABQABgAIAAAAIQA4/SH/1gAAAJQBAAALAAAAAAAAAAAAAAAAAC8B&#10;AABfcmVscy8ucmVsc1BLAQItABQABgAIAAAAIQCcYCLkwQMAAOYOAAAOAAAAAAAAAAAAAAAAAC4C&#10;AABkcnMvZTJvRG9jLnhtbFBLAQItABQABgAIAAAAIQDx/OT53QAAAAcBAAAPAAAAAAAAAAAAAAAA&#10;ABsGAABkcnMvZG93bnJldi54bWxQSwUGAAAAAAQABADzAAAAJQ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14:paraId="50326918" w14:textId="3A50F253" w:rsidR="00826D89" w:rsidRDefault="00826D89">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1306;top:13335;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696000C1" w14:textId="0C154738" w:rsidR="00826D89" w:rsidRDefault="00826D89">
                                <w:pPr>
                                  <w:pStyle w:val="NoSpacing"/>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 xml:space="preserve">Mernda Calisthenics Conflict of interest procedure                 </w:t>
                                </w:r>
                              </w:p>
                            </w:sdtContent>
                          </w:sdt>
                        </w:txbxContent>
                      </v:textbox>
                    </v:shape>
                    <w10:wrap anchorx="page" anchory="page"/>
                  </v:group>
                </w:pict>
              </mc:Fallback>
            </mc:AlternateContent>
          </w:r>
        </w:p>
        <w:p w14:paraId="3007D986" w14:textId="77777777" w:rsidR="00826D89" w:rsidRDefault="00826D89" w:rsidP="002A6994"/>
        <w:p w14:paraId="40738661" w14:textId="77777777" w:rsidR="00826D89" w:rsidRDefault="00826D89" w:rsidP="002A6994"/>
        <w:p w14:paraId="6206AD11" w14:textId="77777777" w:rsidR="00826D89" w:rsidRDefault="00826D89" w:rsidP="002A6994"/>
        <w:p w14:paraId="33F38945" w14:textId="77777777" w:rsidR="00826D89" w:rsidRDefault="00826D89" w:rsidP="002A6994"/>
        <w:p w14:paraId="2D7CE078" w14:textId="3033DB1A" w:rsidR="00826D89" w:rsidRDefault="00826D89" w:rsidP="002A6994"/>
        <w:p w14:paraId="0E4FB80C" w14:textId="77777777" w:rsidR="00826D89" w:rsidRDefault="00826D89" w:rsidP="002A6994"/>
        <w:p w14:paraId="764D17D1" w14:textId="77777777" w:rsidR="00826D89" w:rsidRDefault="00826D89" w:rsidP="002A6994"/>
        <w:p w14:paraId="01081D20" w14:textId="21068A5B" w:rsidR="00826D89" w:rsidRDefault="00826D89" w:rsidP="002A6994"/>
        <w:p w14:paraId="78C5C259" w14:textId="77777777" w:rsidR="00826D89" w:rsidRDefault="00826D89" w:rsidP="002A6994"/>
        <w:p w14:paraId="6DCF1B39" w14:textId="621AE0F9" w:rsidR="00826D89" w:rsidRDefault="00826D89" w:rsidP="002A6994"/>
        <w:p w14:paraId="655550A2" w14:textId="77777777" w:rsidR="00826D89" w:rsidRDefault="00826D89" w:rsidP="002A6994"/>
        <w:p w14:paraId="37D15811" w14:textId="77777777" w:rsidR="00826D89" w:rsidRDefault="00826D89" w:rsidP="002A6994"/>
        <w:p w14:paraId="40D4FFFF" w14:textId="77777777" w:rsidR="00826D89" w:rsidRDefault="00826D89" w:rsidP="002A6994"/>
        <w:p w14:paraId="7B850A3A" w14:textId="77777777" w:rsidR="00826D89" w:rsidRDefault="00826D89" w:rsidP="002A6994"/>
        <w:p w14:paraId="548E30BE" w14:textId="1CD24376" w:rsidR="00826D89" w:rsidRDefault="00826D89" w:rsidP="00826D89">
          <w:pPr>
            <w:jc w:val="center"/>
          </w:pPr>
        </w:p>
        <w:p w14:paraId="4C391E60" w14:textId="52915B03" w:rsidR="00826D89" w:rsidRDefault="00826D89" w:rsidP="002A6994"/>
        <w:p w14:paraId="63BD261E" w14:textId="07451128" w:rsidR="00826D89" w:rsidRDefault="00826D89" w:rsidP="002A6994"/>
        <w:p w14:paraId="557B0B46" w14:textId="77777777" w:rsidR="00826D89" w:rsidRDefault="00826D89" w:rsidP="002A6994">
          <w:bookmarkStart w:id="0" w:name="_GoBack"/>
          <w:bookmarkEnd w:id="0"/>
        </w:p>
        <w:p w14:paraId="165B4288" w14:textId="4C33E07B" w:rsidR="00826D89" w:rsidRDefault="00826D89" w:rsidP="00826D89">
          <w:pPr>
            <w:jc w:val="center"/>
          </w:pPr>
          <w:r>
            <w:rPr>
              <w:noProof/>
            </w:rPr>
            <w:drawing>
              <wp:inline distT="0" distB="0" distL="0" distR="0" wp14:anchorId="7D37BC9A" wp14:editId="5E4B4BB1">
                <wp:extent cx="2056384" cy="9144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rnda 1.png"/>
                        <pic:cNvPicPr/>
                      </pic:nvPicPr>
                      <pic:blipFill>
                        <a:blip r:embed="rId7"/>
                        <a:stretch>
                          <a:fillRect/>
                        </a:stretch>
                      </pic:blipFill>
                      <pic:spPr>
                        <a:xfrm>
                          <a:off x="0" y="0"/>
                          <a:ext cx="2062524" cy="917130"/>
                        </a:xfrm>
                        <a:prstGeom prst="rect">
                          <a:avLst/>
                        </a:prstGeom>
                      </pic:spPr>
                    </pic:pic>
                  </a:graphicData>
                </a:graphic>
              </wp:inline>
            </w:drawing>
          </w:r>
        </w:p>
        <w:p w14:paraId="0A0D4B78" w14:textId="77777777" w:rsidR="00826D89" w:rsidRDefault="00826D89" w:rsidP="002A6994"/>
        <w:p w14:paraId="2B5A4D18" w14:textId="77777777" w:rsidR="00826D89" w:rsidRDefault="00826D89" w:rsidP="002A6994"/>
        <w:p w14:paraId="06E4345A" w14:textId="77777777" w:rsidR="00826D89" w:rsidRDefault="00826D89" w:rsidP="002A6994"/>
        <w:p w14:paraId="067B6B55" w14:textId="77777777" w:rsidR="00826D89" w:rsidRDefault="00826D89" w:rsidP="002A6994"/>
        <w:p w14:paraId="442EA41C" w14:textId="77777777" w:rsidR="00826D89" w:rsidRDefault="00826D89" w:rsidP="002A6994"/>
        <w:p w14:paraId="4B9CA60E" w14:textId="77777777" w:rsidR="00826D89" w:rsidRDefault="00826D89" w:rsidP="002A6994"/>
        <w:p w14:paraId="067291A3" w14:textId="77777777" w:rsidR="00826D89" w:rsidRDefault="00826D89" w:rsidP="002A6994"/>
        <w:p w14:paraId="4BCFAEB8" w14:textId="77777777" w:rsidR="00826D89" w:rsidRDefault="00826D89" w:rsidP="002A6994"/>
        <w:p w14:paraId="22A3796C" w14:textId="77777777" w:rsidR="00826D89" w:rsidRDefault="00826D89" w:rsidP="002A6994"/>
        <w:p w14:paraId="6C310120" w14:textId="77777777" w:rsidR="00826D89" w:rsidRDefault="00826D89" w:rsidP="002A6994"/>
        <w:p w14:paraId="7280AFD5" w14:textId="77777777" w:rsidR="00826D89" w:rsidRDefault="00826D89" w:rsidP="002A6994"/>
        <w:p w14:paraId="1AD5B705" w14:textId="77777777" w:rsidR="00826D89" w:rsidRDefault="00826D89" w:rsidP="002A6994"/>
        <w:p w14:paraId="51A99CC5" w14:textId="77777777" w:rsidR="00826D89" w:rsidRDefault="00826D89" w:rsidP="002A6994"/>
        <w:p w14:paraId="7F3737D6" w14:textId="77777777" w:rsidR="00826D89" w:rsidRDefault="00826D89" w:rsidP="002A6994"/>
        <w:p w14:paraId="5930FB7D" w14:textId="77777777" w:rsidR="00826D89" w:rsidRDefault="00826D89" w:rsidP="002A6994"/>
        <w:p w14:paraId="1D5D26CF" w14:textId="77777777" w:rsidR="00826D89" w:rsidRDefault="00826D89" w:rsidP="002A6994"/>
        <w:p w14:paraId="2818A386" w14:textId="77777777" w:rsidR="00826D89" w:rsidRDefault="00826D89" w:rsidP="002A6994"/>
        <w:p w14:paraId="21BB5542" w14:textId="77777777" w:rsidR="00826D89" w:rsidRDefault="00826D89" w:rsidP="002A6994"/>
        <w:p w14:paraId="04A48883" w14:textId="77777777" w:rsidR="00826D89" w:rsidRDefault="00826D89" w:rsidP="002A6994"/>
        <w:p w14:paraId="5611BD38" w14:textId="77777777" w:rsidR="00826D89" w:rsidRDefault="00826D89" w:rsidP="002A6994"/>
        <w:p w14:paraId="4BC001DA" w14:textId="77777777" w:rsidR="00826D89" w:rsidRDefault="00826D89" w:rsidP="002A6994"/>
        <w:p w14:paraId="38C74E65" w14:textId="77777777" w:rsidR="00826D89" w:rsidRDefault="00826D89" w:rsidP="002A6994"/>
        <w:p w14:paraId="040E5C61" w14:textId="77777777" w:rsidR="00826D89" w:rsidRDefault="00826D89" w:rsidP="002A6994"/>
        <w:p w14:paraId="6C10472F" w14:textId="77777777" w:rsidR="00826D89" w:rsidRDefault="00826D89" w:rsidP="002A6994"/>
        <w:p w14:paraId="4053FDA1" w14:textId="77777777" w:rsidR="00826D89" w:rsidRDefault="00826D89" w:rsidP="002A6994"/>
        <w:p w14:paraId="38C6DD10" w14:textId="77777777" w:rsidR="00826D89" w:rsidRDefault="00826D89" w:rsidP="002A6994"/>
        <w:p w14:paraId="7A36CD45" w14:textId="77777777" w:rsidR="00826D89" w:rsidRDefault="00826D89" w:rsidP="002A6994"/>
        <w:p w14:paraId="178C28CC" w14:textId="401B8129" w:rsidR="002A6994" w:rsidRDefault="00826D89" w:rsidP="002A6994"/>
      </w:sdtContent>
    </w:sdt>
    <w:p w14:paraId="7705C6FD" w14:textId="77777777" w:rsidR="002A6994" w:rsidRDefault="002A6994" w:rsidP="002A6994">
      <w:r>
        <w:t>Version Control, Change History and Distribution</w:t>
      </w:r>
    </w:p>
    <w:p w14:paraId="33AFD08C" w14:textId="77777777" w:rsidR="002A6994" w:rsidRDefault="002A6994" w:rsidP="002A6994"/>
    <w:p w14:paraId="7AE04F6A" w14:textId="77777777" w:rsidR="002A6994" w:rsidRDefault="002A6994" w:rsidP="002A6994"/>
    <w:p w14:paraId="0A539D6E" w14:textId="77777777" w:rsidR="002A6994" w:rsidRDefault="002A6994" w:rsidP="002A6994">
      <w:r>
        <w:t>Version Control</w:t>
      </w:r>
    </w:p>
    <w:p w14:paraId="44CB4B9E" w14:textId="77777777" w:rsidR="002A6994" w:rsidRDefault="002A6994" w:rsidP="002A6994"/>
    <w:tbl>
      <w:tblPr>
        <w:tblStyle w:val="TableGrid"/>
        <w:tblW w:w="0" w:type="auto"/>
        <w:tblLook w:val="04A0" w:firstRow="1" w:lastRow="0" w:firstColumn="1" w:lastColumn="0" w:noHBand="0" w:noVBand="1"/>
      </w:tblPr>
      <w:tblGrid>
        <w:gridCol w:w="4508"/>
        <w:gridCol w:w="4508"/>
      </w:tblGrid>
      <w:tr w:rsidR="002A6994" w14:paraId="02DD09B3" w14:textId="77777777" w:rsidTr="002351B1">
        <w:trPr>
          <w:trHeight w:val="964"/>
        </w:trPr>
        <w:tc>
          <w:tcPr>
            <w:tcW w:w="4508" w:type="dxa"/>
          </w:tcPr>
          <w:p w14:paraId="4620D140" w14:textId="77777777" w:rsidR="002A6994" w:rsidRDefault="002A6994" w:rsidP="002351B1">
            <w:r>
              <w:t>Document Name:</w:t>
            </w:r>
          </w:p>
        </w:tc>
        <w:tc>
          <w:tcPr>
            <w:tcW w:w="4508" w:type="dxa"/>
          </w:tcPr>
          <w:p w14:paraId="740870D1" w14:textId="54474F8A" w:rsidR="002A6994" w:rsidRDefault="00437A82" w:rsidP="005F0FA4">
            <w:r>
              <w:t xml:space="preserve">Conflict of Interest </w:t>
            </w:r>
            <w:r w:rsidR="005F0FA4">
              <w:t>Procedures</w:t>
            </w:r>
          </w:p>
        </w:tc>
      </w:tr>
      <w:tr w:rsidR="002A6994" w14:paraId="2876C9CE" w14:textId="77777777" w:rsidTr="002351B1">
        <w:trPr>
          <w:trHeight w:val="964"/>
        </w:trPr>
        <w:tc>
          <w:tcPr>
            <w:tcW w:w="4508" w:type="dxa"/>
          </w:tcPr>
          <w:p w14:paraId="74C9D098" w14:textId="77777777" w:rsidR="002A6994" w:rsidRDefault="002A6994" w:rsidP="002351B1">
            <w:r>
              <w:t>Prepared by:</w:t>
            </w:r>
          </w:p>
        </w:tc>
        <w:tc>
          <w:tcPr>
            <w:tcW w:w="4508" w:type="dxa"/>
          </w:tcPr>
          <w:p w14:paraId="7D545CBD" w14:textId="7C142FE9" w:rsidR="002A6994" w:rsidRDefault="00844638" w:rsidP="002351B1">
            <w:r>
              <w:t>Mernda Calisthenics Club</w:t>
            </w:r>
          </w:p>
        </w:tc>
      </w:tr>
      <w:tr w:rsidR="002A6994" w14:paraId="618EC569" w14:textId="77777777" w:rsidTr="002351B1">
        <w:trPr>
          <w:trHeight w:val="964"/>
        </w:trPr>
        <w:tc>
          <w:tcPr>
            <w:tcW w:w="4508" w:type="dxa"/>
          </w:tcPr>
          <w:p w14:paraId="7028A326" w14:textId="77777777" w:rsidR="002A6994" w:rsidRDefault="002A6994" w:rsidP="002351B1">
            <w:r>
              <w:t>Endorsed by:</w:t>
            </w:r>
          </w:p>
        </w:tc>
        <w:tc>
          <w:tcPr>
            <w:tcW w:w="4508" w:type="dxa"/>
          </w:tcPr>
          <w:p w14:paraId="6207D54D" w14:textId="2FCFB430" w:rsidR="002A6994" w:rsidRDefault="00844638" w:rsidP="002351B1">
            <w:r>
              <w:t>Calisthenics Victoria</w:t>
            </w:r>
          </w:p>
        </w:tc>
      </w:tr>
      <w:tr w:rsidR="002A6994" w14:paraId="6E196776" w14:textId="77777777" w:rsidTr="002351B1">
        <w:trPr>
          <w:trHeight w:val="964"/>
        </w:trPr>
        <w:tc>
          <w:tcPr>
            <w:tcW w:w="4508" w:type="dxa"/>
          </w:tcPr>
          <w:p w14:paraId="3D383033" w14:textId="77777777" w:rsidR="002A6994" w:rsidRDefault="002A6994" w:rsidP="002351B1">
            <w:r>
              <w:t>Date Endorsed:</w:t>
            </w:r>
          </w:p>
          <w:p w14:paraId="2F9DF350" w14:textId="77777777" w:rsidR="002A6994" w:rsidRDefault="002A6994" w:rsidP="002351B1"/>
        </w:tc>
        <w:tc>
          <w:tcPr>
            <w:tcW w:w="4508" w:type="dxa"/>
          </w:tcPr>
          <w:p w14:paraId="598C1549" w14:textId="65B3794E" w:rsidR="002A6994" w:rsidRDefault="00844638" w:rsidP="002351B1">
            <w:r>
              <w:t>2 March 2019</w:t>
            </w:r>
          </w:p>
        </w:tc>
      </w:tr>
      <w:tr w:rsidR="002A6994" w14:paraId="79E5A997" w14:textId="77777777" w:rsidTr="002351B1">
        <w:trPr>
          <w:trHeight w:val="964"/>
        </w:trPr>
        <w:tc>
          <w:tcPr>
            <w:tcW w:w="4508" w:type="dxa"/>
          </w:tcPr>
          <w:p w14:paraId="5FA300D1" w14:textId="77777777" w:rsidR="002A6994" w:rsidRDefault="002A6994" w:rsidP="002351B1">
            <w:r>
              <w:t>Version:</w:t>
            </w:r>
          </w:p>
        </w:tc>
        <w:tc>
          <w:tcPr>
            <w:tcW w:w="4508" w:type="dxa"/>
          </w:tcPr>
          <w:p w14:paraId="0B6341F2" w14:textId="399BE7CC" w:rsidR="002A6994" w:rsidRDefault="0068500B" w:rsidP="002351B1">
            <w:r>
              <w:t>1.0</w:t>
            </w:r>
          </w:p>
        </w:tc>
      </w:tr>
      <w:tr w:rsidR="002A6994" w14:paraId="3762CAE2" w14:textId="77777777" w:rsidTr="002351B1">
        <w:trPr>
          <w:trHeight w:val="964"/>
        </w:trPr>
        <w:tc>
          <w:tcPr>
            <w:tcW w:w="4508" w:type="dxa"/>
          </w:tcPr>
          <w:p w14:paraId="7AA80D66" w14:textId="77777777" w:rsidR="002A6994" w:rsidRDefault="002A6994" w:rsidP="002351B1">
            <w:r>
              <w:t>Review Date:</w:t>
            </w:r>
          </w:p>
        </w:tc>
        <w:tc>
          <w:tcPr>
            <w:tcW w:w="4508" w:type="dxa"/>
          </w:tcPr>
          <w:p w14:paraId="1C16F286" w14:textId="7C18452D" w:rsidR="002A6994" w:rsidRDefault="00844638" w:rsidP="002351B1">
            <w:r>
              <w:t>2 March 2021</w:t>
            </w:r>
          </w:p>
        </w:tc>
      </w:tr>
    </w:tbl>
    <w:p w14:paraId="640E0F86" w14:textId="77777777" w:rsidR="002A6994" w:rsidRDefault="002A6994" w:rsidP="002A6994"/>
    <w:p w14:paraId="0A767634" w14:textId="77777777" w:rsidR="002A6994" w:rsidRDefault="002A6994" w:rsidP="002A6994"/>
    <w:p w14:paraId="7DA1594A" w14:textId="77777777" w:rsidR="002A6994" w:rsidRDefault="002A6994" w:rsidP="002A6994"/>
    <w:p w14:paraId="31EB7920" w14:textId="77777777" w:rsidR="002A6994" w:rsidRDefault="002A6994" w:rsidP="002A6994">
      <w:r>
        <w:t>Change History</w:t>
      </w:r>
    </w:p>
    <w:p w14:paraId="3192833D" w14:textId="77777777" w:rsidR="002A6994" w:rsidRDefault="002A6994" w:rsidP="002A6994"/>
    <w:tbl>
      <w:tblPr>
        <w:tblStyle w:val="TableGrid"/>
        <w:tblW w:w="0" w:type="auto"/>
        <w:tblLook w:val="04A0" w:firstRow="1" w:lastRow="0" w:firstColumn="1" w:lastColumn="0" w:noHBand="0" w:noVBand="1"/>
      </w:tblPr>
      <w:tblGrid>
        <w:gridCol w:w="2254"/>
        <w:gridCol w:w="2254"/>
        <w:gridCol w:w="2254"/>
        <w:gridCol w:w="2254"/>
      </w:tblGrid>
      <w:tr w:rsidR="002A6994" w14:paraId="7391542C" w14:textId="77777777" w:rsidTr="002351B1">
        <w:trPr>
          <w:trHeight w:val="624"/>
        </w:trPr>
        <w:tc>
          <w:tcPr>
            <w:tcW w:w="2254" w:type="dxa"/>
          </w:tcPr>
          <w:p w14:paraId="5CC180FE" w14:textId="77777777" w:rsidR="002A6994" w:rsidRDefault="002A6994" w:rsidP="002351B1">
            <w:r>
              <w:t>Amendment Date</w:t>
            </w:r>
          </w:p>
        </w:tc>
        <w:tc>
          <w:tcPr>
            <w:tcW w:w="2254" w:type="dxa"/>
          </w:tcPr>
          <w:p w14:paraId="067E7535" w14:textId="77777777" w:rsidR="002A6994" w:rsidRDefault="002A6994" w:rsidP="002351B1">
            <w:r>
              <w:t>Version No.</w:t>
            </w:r>
          </w:p>
        </w:tc>
        <w:tc>
          <w:tcPr>
            <w:tcW w:w="2254" w:type="dxa"/>
          </w:tcPr>
          <w:p w14:paraId="3C631911" w14:textId="77777777" w:rsidR="002A6994" w:rsidRDefault="002A6994" w:rsidP="002351B1">
            <w:r>
              <w:t>Page No(s) replaced</w:t>
            </w:r>
          </w:p>
        </w:tc>
        <w:tc>
          <w:tcPr>
            <w:tcW w:w="2254" w:type="dxa"/>
          </w:tcPr>
          <w:p w14:paraId="40C57E76" w14:textId="77777777" w:rsidR="002A6994" w:rsidRDefault="002A6994" w:rsidP="002351B1">
            <w:r>
              <w:t>Description of change</w:t>
            </w:r>
          </w:p>
        </w:tc>
      </w:tr>
      <w:tr w:rsidR="002A6994" w14:paraId="2D2A22F2" w14:textId="77777777" w:rsidTr="002351B1">
        <w:trPr>
          <w:trHeight w:val="624"/>
        </w:trPr>
        <w:tc>
          <w:tcPr>
            <w:tcW w:w="2254" w:type="dxa"/>
          </w:tcPr>
          <w:p w14:paraId="29571DFD" w14:textId="3D5BF735" w:rsidR="002A6994" w:rsidRDefault="002A6994" w:rsidP="002351B1"/>
        </w:tc>
        <w:tc>
          <w:tcPr>
            <w:tcW w:w="2254" w:type="dxa"/>
          </w:tcPr>
          <w:p w14:paraId="0E262C15" w14:textId="46FB9A51" w:rsidR="002A6994" w:rsidRDefault="002A6994" w:rsidP="002351B1"/>
        </w:tc>
        <w:tc>
          <w:tcPr>
            <w:tcW w:w="2254" w:type="dxa"/>
          </w:tcPr>
          <w:p w14:paraId="6975EBCE" w14:textId="77777777" w:rsidR="002A6994" w:rsidRDefault="002A6994" w:rsidP="002351B1"/>
        </w:tc>
        <w:tc>
          <w:tcPr>
            <w:tcW w:w="2254" w:type="dxa"/>
          </w:tcPr>
          <w:p w14:paraId="6BE4374B" w14:textId="77777777" w:rsidR="002A6994" w:rsidRDefault="002A6994" w:rsidP="002351B1"/>
        </w:tc>
      </w:tr>
      <w:tr w:rsidR="002A6994" w14:paraId="156BA953" w14:textId="77777777" w:rsidTr="002351B1">
        <w:trPr>
          <w:trHeight w:val="624"/>
        </w:trPr>
        <w:tc>
          <w:tcPr>
            <w:tcW w:w="2254" w:type="dxa"/>
          </w:tcPr>
          <w:p w14:paraId="448B6A91" w14:textId="77777777" w:rsidR="002A6994" w:rsidRDefault="002A6994" w:rsidP="002351B1"/>
        </w:tc>
        <w:tc>
          <w:tcPr>
            <w:tcW w:w="2254" w:type="dxa"/>
          </w:tcPr>
          <w:p w14:paraId="33840F8C" w14:textId="77777777" w:rsidR="002A6994" w:rsidRDefault="002A6994" w:rsidP="002351B1"/>
        </w:tc>
        <w:tc>
          <w:tcPr>
            <w:tcW w:w="2254" w:type="dxa"/>
          </w:tcPr>
          <w:p w14:paraId="6C5543A6" w14:textId="77777777" w:rsidR="002A6994" w:rsidRDefault="002A6994" w:rsidP="002351B1"/>
        </w:tc>
        <w:tc>
          <w:tcPr>
            <w:tcW w:w="2254" w:type="dxa"/>
          </w:tcPr>
          <w:p w14:paraId="1E1136AF" w14:textId="77777777" w:rsidR="002A6994" w:rsidRDefault="002A6994" w:rsidP="002351B1"/>
        </w:tc>
      </w:tr>
      <w:tr w:rsidR="002A6994" w14:paraId="3D40D23E" w14:textId="77777777" w:rsidTr="002351B1">
        <w:trPr>
          <w:trHeight w:val="624"/>
        </w:trPr>
        <w:tc>
          <w:tcPr>
            <w:tcW w:w="2254" w:type="dxa"/>
          </w:tcPr>
          <w:p w14:paraId="5E4B8F25" w14:textId="77777777" w:rsidR="002A6994" w:rsidRDefault="002A6994" w:rsidP="002351B1"/>
        </w:tc>
        <w:tc>
          <w:tcPr>
            <w:tcW w:w="2254" w:type="dxa"/>
          </w:tcPr>
          <w:p w14:paraId="13BF6EE9" w14:textId="77777777" w:rsidR="002A6994" w:rsidRDefault="002A6994" w:rsidP="002351B1"/>
        </w:tc>
        <w:tc>
          <w:tcPr>
            <w:tcW w:w="2254" w:type="dxa"/>
          </w:tcPr>
          <w:p w14:paraId="320EACC6" w14:textId="77777777" w:rsidR="002A6994" w:rsidRDefault="002A6994" w:rsidP="002351B1"/>
        </w:tc>
        <w:tc>
          <w:tcPr>
            <w:tcW w:w="2254" w:type="dxa"/>
          </w:tcPr>
          <w:p w14:paraId="7806F062" w14:textId="77777777" w:rsidR="002A6994" w:rsidRDefault="002A6994" w:rsidP="002351B1"/>
        </w:tc>
      </w:tr>
    </w:tbl>
    <w:p w14:paraId="7ACE6B10" w14:textId="77777777" w:rsidR="002A6994" w:rsidRDefault="002A6994" w:rsidP="002A6994"/>
    <w:p w14:paraId="5BEE3D25" w14:textId="77777777" w:rsidR="002A6994" w:rsidRDefault="002A6994" w:rsidP="002A6994"/>
    <w:p w14:paraId="5DACA9DA" w14:textId="77777777" w:rsidR="002A6994" w:rsidRDefault="002A6994" w:rsidP="002A6994"/>
    <w:p w14:paraId="43FD023C" w14:textId="7D3F754E" w:rsidR="002A6994" w:rsidRDefault="002A6994" w:rsidP="002A6994">
      <w:r>
        <w:t>Distribution:</w:t>
      </w:r>
      <w:r w:rsidR="00BB7728">
        <w:t xml:space="preserve"> All membership via soft copy and downloadable from </w:t>
      </w:r>
      <w:r w:rsidR="00844638">
        <w:t>Mernda Calisthenics Club</w:t>
      </w:r>
    </w:p>
    <w:p w14:paraId="5C4BA32B" w14:textId="77777777" w:rsidR="002A6994" w:rsidRDefault="002A6994" w:rsidP="002A6994"/>
    <w:p w14:paraId="5CBF8D9F" w14:textId="77777777" w:rsidR="002A6994" w:rsidRDefault="002A6994" w:rsidP="002A6994"/>
    <w:p w14:paraId="3BA90745" w14:textId="77777777" w:rsidR="002A6994" w:rsidRDefault="002A6994" w:rsidP="002A6994"/>
    <w:p w14:paraId="5E88BB3B" w14:textId="77777777" w:rsidR="002A6994" w:rsidRDefault="002A6994" w:rsidP="002A6994"/>
    <w:p w14:paraId="3E83A61E" w14:textId="77777777" w:rsidR="002A6994" w:rsidRDefault="002A6994" w:rsidP="002A6994"/>
    <w:p w14:paraId="798DE40C" w14:textId="77777777" w:rsidR="002F466F" w:rsidRDefault="002F466F" w:rsidP="002A6994"/>
    <w:p w14:paraId="5372A415" w14:textId="77777777" w:rsidR="002F466F" w:rsidRDefault="002F466F" w:rsidP="002A6994"/>
    <w:p w14:paraId="700DA00E" w14:textId="77777777" w:rsidR="002F466F" w:rsidRDefault="002F466F" w:rsidP="002A6994"/>
    <w:p w14:paraId="55C21E8A" w14:textId="77777777" w:rsidR="002F466F" w:rsidRDefault="002F466F" w:rsidP="002A6994"/>
    <w:p w14:paraId="131A6BE0" w14:textId="77777777" w:rsidR="002F466F" w:rsidRDefault="002F466F" w:rsidP="002A6994"/>
    <w:p w14:paraId="2E87FEFB" w14:textId="06842242" w:rsidR="002F466F" w:rsidRPr="00437A82" w:rsidRDefault="002F466F" w:rsidP="002F466F">
      <w:pPr>
        <w:spacing w:line="276" w:lineRule="auto"/>
        <w:rPr>
          <w:rFonts w:asciiTheme="majorHAnsi" w:hAnsiTheme="majorHAnsi"/>
          <w:b/>
          <w:sz w:val="22"/>
          <w:szCs w:val="22"/>
        </w:rPr>
      </w:pPr>
    </w:p>
    <w:p w14:paraId="7C27B1FD" w14:textId="77777777" w:rsidR="005F0FA4" w:rsidRPr="005F0FA4" w:rsidRDefault="005F0FA4" w:rsidP="005F0FA4">
      <w:pPr>
        <w:pStyle w:val="Heading2"/>
        <w:spacing w:line="276" w:lineRule="auto"/>
        <w:rPr>
          <w:rFonts w:asciiTheme="majorHAnsi" w:hAnsiTheme="majorHAnsi"/>
          <w:i w:val="0"/>
          <w:szCs w:val="22"/>
        </w:rPr>
      </w:pPr>
      <w:r w:rsidRPr="005F0FA4">
        <w:rPr>
          <w:rFonts w:asciiTheme="majorHAnsi" w:hAnsiTheme="majorHAnsi"/>
          <w:i w:val="0"/>
          <w:szCs w:val="22"/>
        </w:rPr>
        <w:t>Responsibilities</w:t>
      </w:r>
    </w:p>
    <w:p w14:paraId="19E4238F" w14:textId="77777777" w:rsidR="005F0FA4" w:rsidRPr="005F0FA4" w:rsidRDefault="005F0FA4" w:rsidP="005F0FA4">
      <w:pPr>
        <w:spacing w:line="276" w:lineRule="auto"/>
        <w:rPr>
          <w:rFonts w:asciiTheme="majorHAnsi" w:hAnsiTheme="majorHAnsi"/>
          <w:sz w:val="22"/>
          <w:szCs w:val="22"/>
        </w:rPr>
      </w:pPr>
      <w:r w:rsidRPr="005F0FA4">
        <w:rPr>
          <w:rFonts w:asciiTheme="majorHAnsi" w:hAnsiTheme="majorHAnsi"/>
          <w:sz w:val="22"/>
          <w:szCs w:val="22"/>
        </w:rPr>
        <w:t>All members are responsible for adhering to and respecting this policy.</w:t>
      </w:r>
      <w:r w:rsidRPr="005F0FA4">
        <w:rPr>
          <w:rFonts w:asciiTheme="majorHAnsi" w:hAnsiTheme="majorHAnsi"/>
          <w:sz w:val="22"/>
          <w:szCs w:val="22"/>
        </w:rPr>
        <w:br/>
        <w:t xml:space="preserve"> </w:t>
      </w:r>
    </w:p>
    <w:p w14:paraId="6034E71C" w14:textId="77777777" w:rsidR="005F0FA4" w:rsidRPr="005F0FA4" w:rsidRDefault="005F0FA4" w:rsidP="005F0FA4">
      <w:pPr>
        <w:pStyle w:val="Heading2"/>
        <w:spacing w:line="276" w:lineRule="auto"/>
        <w:rPr>
          <w:rFonts w:asciiTheme="majorHAnsi" w:hAnsiTheme="majorHAnsi"/>
          <w:i w:val="0"/>
          <w:szCs w:val="22"/>
        </w:rPr>
      </w:pPr>
      <w:r w:rsidRPr="005F0FA4">
        <w:rPr>
          <w:rFonts w:asciiTheme="majorHAnsi" w:hAnsiTheme="majorHAnsi"/>
          <w:i w:val="0"/>
          <w:szCs w:val="22"/>
        </w:rPr>
        <w:t>Procedures</w:t>
      </w:r>
    </w:p>
    <w:p w14:paraId="689305EB" w14:textId="77777777" w:rsidR="005F0FA4" w:rsidRPr="005F0FA4" w:rsidRDefault="005F0FA4" w:rsidP="005F0FA4">
      <w:pPr>
        <w:numPr>
          <w:ilvl w:val="0"/>
          <w:numId w:val="8"/>
        </w:numPr>
        <w:spacing w:before="60" w:after="120" w:line="276" w:lineRule="auto"/>
        <w:rPr>
          <w:rFonts w:asciiTheme="majorHAnsi" w:hAnsiTheme="majorHAnsi"/>
          <w:sz w:val="22"/>
          <w:szCs w:val="22"/>
        </w:rPr>
      </w:pPr>
      <w:r w:rsidRPr="005F0FA4">
        <w:rPr>
          <w:rFonts w:asciiTheme="majorHAnsi" w:hAnsiTheme="majorHAnsi"/>
          <w:sz w:val="22"/>
          <w:szCs w:val="22"/>
        </w:rPr>
        <w:t xml:space="preserve">Members shall declare any conflicts of interest either at the start of a meeting concerned or when a relevant issue arises.  </w:t>
      </w:r>
    </w:p>
    <w:p w14:paraId="6B570606" w14:textId="77777777" w:rsidR="005F0FA4" w:rsidRPr="005F0FA4" w:rsidRDefault="005F0FA4" w:rsidP="005F0FA4">
      <w:pPr>
        <w:numPr>
          <w:ilvl w:val="0"/>
          <w:numId w:val="8"/>
        </w:numPr>
        <w:spacing w:before="60" w:after="120" w:line="276" w:lineRule="auto"/>
        <w:rPr>
          <w:rFonts w:asciiTheme="majorHAnsi" w:hAnsiTheme="majorHAnsi"/>
          <w:sz w:val="22"/>
          <w:szCs w:val="22"/>
        </w:rPr>
      </w:pPr>
      <w:r w:rsidRPr="005F0FA4">
        <w:rPr>
          <w:rFonts w:asciiTheme="majorHAnsi" w:hAnsiTheme="majorHAnsi"/>
          <w:sz w:val="22"/>
          <w:szCs w:val="22"/>
        </w:rPr>
        <w:t xml:space="preserve">The nature of this conflict of interest should be entered into the meeting minutes. </w:t>
      </w:r>
    </w:p>
    <w:p w14:paraId="048F057A" w14:textId="77777777" w:rsidR="005F0FA4" w:rsidRPr="005F0FA4" w:rsidRDefault="005F0FA4" w:rsidP="005F0FA4">
      <w:pPr>
        <w:numPr>
          <w:ilvl w:val="0"/>
          <w:numId w:val="8"/>
        </w:numPr>
        <w:spacing w:before="60" w:after="120" w:line="276" w:lineRule="auto"/>
        <w:rPr>
          <w:rFonts w:asciiTheme="majorHAnsi" w:hAnsiTheme="majorHAnsi"/>
          <w:sz w:val="22"/>
          <w:szCs w:val="22"/>
        </w:rPr>
      </w:pPr>
      <w:r w:rsidRPr="005F0FA4">
        <w:rPr>
          <w:rFonts w:asciiTheme="majorHAnsi" w:hAnsiTheme="majorHAnsi"/>
          <w:sz w:val="22"/>
          <w:szCs w:val="22"/>
        </w:rPr>
        <w:t>The interest should also be documented in the Conflict of Interest Checklist.</w:t>
      </w:r>
    </w:p>
    <w:p w14:paraId="7DD1BF01" w14:textId="77777777" w:rsidR="005F0FA4" w:rsidRPr="005F0FA4" w:rsidRDefault="005F0FA4" w:rsidP="005F0FA4">
      <w:pPr>
        <w:numPr>
          <w:ilvl w:val="0"/>
          <w:numId w:val="8"/>
        </w:numPr>
        <w:spacing w:before="60" w:after="120" w:line="276" w:lineRule="auto"/>
        <w:rPr>
          <w:rFonts w:asciiTheme="majorHAnsi" w:hAnsiTheme="majorHAnsi"/>
          <w:sz w:val="22"/>
          <w:szCs w:val="22"/>
        </w:rPr>
      </w:pPr>
      <w:r w:rsidRPr="005F0FA4">
        <w:rPr>
          <w:rFonts w:asciiTheme="majorHAnsi" w:hAnsiTheme="majorHAnsi"/>
          <w:sz w:val="22"/>
          <w:szCs w:val="22"/>
        </w:rPr>
        <w:t xml:space="preserve">Where a conflict of interest or potential conflict of interest, as defined below, is identified and/or registered, the member concerned may be asked to leave the room as soon as that item comes up for discussion. The concerned member shall not vote on that issue, nor initiate or take part in any discussion on that topic (either in the meeting or with other members before or after the meetings), unless expressly invited to do so by unanimous agreement by all other members present. </w:t>
      </w:r>
    </w:p>
    <w:p w14:paraId="72999793" w14:textId="77777777" w:rsidR="005F0FA4" w:rsidRPr="005F0FA4" w:rsidRDefault="005F0FA4" w:rsidP="005F0FA4">
      <w:pPr>
        <w:numPr>
          <w:ilvl w:val="0"/>
          <w:numId w:val="8"/>
        </w:numPr>
        <w:spacing w:before="60" w:after="120" w:line="276" w:lineRule="auto"/>
        <w:rPr>
          <w:rFonts w:asciiTheme="majorHAnsi" w:hAnsiTheme="majorHAnsi"/>
          <w:sz w:val="22"/>
          <w:szCs w:val="22"/>
        </w:rPr>
      </w:pPr>
      <w:r w:rsidRPr="005F0FA4">
        <w:rPr>
          <w:rFonts w:asciiTheme="majorHAnsi" w:hAnsiTheme="majorHAnsi"/>
          <w:sz w:val="22"/>
          <w:szCs w:val="22"/>
        </w:rPr>
        <w:t>If a person declares they have an existing or potential conflict of interest, confidentiality will be respected. If a person alleges that another person has a conflict of interest, whether existing or potential, and that person does not agree, and if the allegation cannot be resolved to the satisfaction of both parties, the matter shall be referred to the CVI Board. The Board will make a recommendation as to what action shall be taken.</w:t>
      </w:r>
    </w:p>
    <w:p w14:paraId="0958D951" w14:textId="77777777" w:rsidR="005F0FA4" w:rsidRPr="005F0FA4" w:rsidRDefault="005F0FA4" w:rsidP="005F0FA4">
      <w:pPr>
        <w:spacing w:line="276" w:lineRule="auto"/>
        <w:rPr>
          <w:rFonts w:asciiTheme="majorHAnsi" w:hAnsiTheme="majorHAnsi"/>
          <w:color w:val="000000"/>
          <w:sz w:val="22"/>
          <w:szCs w:val="22"/>
        </w:rPr>
      </w:pPr>
      <w:r w:rsidRPr="005F0FA4">
        <w:rPr>
          <w:rFonts w:asciiTheme="majorHAnsi" w:hAnsiTheme="majorHAnsi"/>
          <w:color w:val="000000"/>
          <w:sz w:val="22"/>
          <w:szCs w:val="22"/>
        </w:rPr>
        <w:t>‘Conflict of interest’ is defined as applying</w:t>
      </w:r>
    </w:p>
    <w:p w14:paraId="3095B618" w14:textId="77777777" w:rsidR="005F0FA4" w:rsidRPr="005F0FA4" w:rsidRDefault="005F0FA4" w:rsidP="005F0FA4">
      <w:pPr>
        <w:numPr>
          <w:ilvl w:val="0"/>
          <w:numId w:val="7"/>
        </w:numPr>
        <w:spacing w:before="60" w:after="120" w:line="276" w:lineRule="auto"/>
        <w:contextualSpacing/>
        <w:rPr>
          <w:rFonts w:asciiTheme="majorHAnsi" w:hAnsiTheme="majorHAnsi"/>
          <w:sz w:val="22"/>
          <w:szCs w:val="22"/>
        </w:rPr>
      </w:pPr>
      <w:r w:rsidRPr="005F0FA4">
        <w:rPr>
          <w:rFonts w:asciiTheme="majorHAnsi" w:hAnsiTheme="majorHAnsi"/>
          <w:color w:val="000000"/>
          <w:sz w:val="22"/>
          <w:szCs w:val="22"/>
        </w:rPr>
        <w:t xml:space="preserve">in accordance with the statute, where a member </w:t>
      </w:r>
      <w:r w:rsidRPr="005F0FA4">
        <w:rPr>
          <w:rFonts w:asciiTheme="majorHAnsi" w:hAnsiTheme="majorHAnsi"/>
          <w:sz w:val="22"/>
          <w:szCs w:val="22"/>
        </w:rPr>
        <w:t xml:space="preserve">stands to gain financially from any business dealings, programs or services of the organisation, other than where </w:t>
      </w:r>
    </w:p>
    <w:p w14:paraId="7A777D00" w14:textId="77777777" w:rsidR="005F0FA4" w:rsidRPr="005F0FA4" w:rsidRDefault="005F0FA4" w:rsidP="005F0FA4">
      <w:pPr>
        <w:numPr>
          <w:ilvl w:val="1"/>
          <w:numId w:val="7"/>
        </w:numPr>
        <w:spacing w:before="60" w:after="120" w:line="276" w:lineRule="auto"/>
        <w:contextualSpacing/>
        <w:rPr>
          <w:rFonts w:asciiTheme="majorHAnsi" w:hAnsiTheme="majorHAnsi"/>
          <w:color w:val="000000"/>
          <w:sz w:val="22"/>
          <w:szCs w:val="22"/>
        </w:rPr>
      </w:pPr>
      <w:r w:rsidRPr="005F0FA4">
        <w:rPr>
          <w:rFonts w:asciiTheme="majorHAnsi" w:hAnsiTheme="majorHAnsi"/>
          <w:sz w:val="22"/>
          <w:szCs w:val="22"/>
        </w:rPr>
        <w:t>the member falls into the class of people benefited by the organisation and the financial gain is of a nature common to other beneficiaries, or</w:t>
      </w:r>
    </w:p>
    <w:p w14:paraId="55035160" w14:textId="77777777" w:rsidR="005F0FA4" w:rsidRPr="005F0FA4" w:rsidRDefault="005F0FA4" w:rsidP="005F0FA4">
      <w:pPr>
        <w:numPr>
          <w:ilvl w:val="1"/>
          <w:numId w:val="7"/>
        </w:numPr>
        <w:spacing w:before="60" w:after="120" w:line="276" w:lineRule="auto"/>
        <w:contextualSpacing/>
        <w:rPr>
          <w:rFonts w:asciiTheme="majorHAnsi" w:hAnsiTheme="majorHAnsi"/>
          <w:color w:val="000000"/>
          <w:sz w:val="22"/>
          <w:szCs w:val="22"/>
        </w:rPr>
      </w:pPr>
      <w:r w:rsidRPr="005F0FA4">
        <w:rPr>
          <w:rFonts w:asciiTheme="majorHAnsi" w:hAnsiTheme="majorHAnsi"/>
          <w:sz w:val="22"/>
          <w:szCs w:val="22"/>
        </w:rPr>
        <w:t>the person is an employee of the organisation, and the financial gain is of a nature common to other employees.</w:t>
      </w:r>
    </w:p>
    <w:p w14:paraId="7B55AAC2" w14:textId="77777777" w:rsidR="005F0FA4" w:rsidRPr="005F0FA4" w:rsidRDefault="005F0FA4" w:rsidP="005F0FA4">
      <w:pPr>
        <w:numPr>
          <w:ilvl w:val="0"/>
          <w:numId w:val="7"/>
        </w:numPr>
        <w:spacing w:before="60" w:after="120" w:line="276" w:lineRule="auto"/>
        <w:contextualSpacing/>
        <w:rPr>
          <w:rFonts w:asciiTheme="majorHAnsi" w:hAnsiTheme="majorHAnsi"/>
          <w:color w:val="000000"/>
          <w:sz w:val="22"/>
          <w:szCs w:val="22"/>
        </w:rPr>
      </w:pPr>
      <w:r w:rsidRPr="005F0FA4">
        <w:rPr>
          <w:rFonts w:asciiTheme="majorHAnsi" w:hAnsiTheme="majorHAnsi"/>
          <w:sz w:val="22"/>
          <w:szCs w:val="22"/>
        </w:rPr>
        <w:t>under the bylaws of the organisation,</w:t>
      </w:r>
    </w:p>
    <w:p w14:paraId="2084E158" w14:textId="77777777" w:rsidR="005F0FA4" w:rsidRPr="005F0FA4" w:rsidRDefault="005F0FA4" w:rsidP="005F0FA4">
      <w:pPr>
        <w:numPr>
          <w:ilvl w:val="1"/>
          <w:numId w:val="7"/>
        </w:numPr>
        <w:spacing w:before="60" w:after="120" w:line="276" w:lineRule="auto"/>
        <w:contextualSpacing/>
        <w:rPr>
          <w:rFonts w:asciiTheme="majorHAnsi" w:hAnsiTheme="majorHAnsi"/>
          <w:color w:val="000000"/>
          <w:sz w:val="22"/>
          <w:szCs w:val="22"/>
        </w:rPr>
      </w:pPr>
      <w:r w:rsidRPr="005F0FA4">
        <w:rPr>
          <w:rFonts w:asciiTheme="majorHAnsi" w:hAnsiTheme="majorHAnsi"/>
          <w:sz w:val="22"/>
          <w:szCs w:val="22"/>
        </w:rPr>
        <w:t>where the immediate family or business connections of a member stands to gain financially from any business dealings, programs or services of the organisation,</w:t>
      </w:r>
    </w:p>
    <w:p w14:paraId="24C5B307" w14:textId="77777777" w:rsidR="005F0FA4" w:rsidRPr="005F0FA4" w:rsidRDefault="005F0FA4" w:rsidP="005F0FA4">
      <w:pPr>
        <w:numPr>
          <w:ilvl w:val="1"/>
          <w:numId w:val="7"/>
        </w:numPr>
        <w:spacing w:before="60" w:after="120" w:line="276" w:lineRule="auto"/>
        <w:contextualSpacing/>
        <w:rPr>
          <w:rFonts w:asciiTheme="majorHAnsi" w:hAnsiTheme="majorHAnsi"/>
          <w:color w:val="000000"/>
          <w:sz w:val="22"/>
          <w:szCs w:val="22"/>
        </w:rPr>
      </w:pPr>
      <w:r w:rsidRPr="005F0FA4">
        <w:rPr>
          <w:rFonts w:asciiTheme="majorHAnsi" w:hAnsiTheme="majorHAnsi"/>
          <w:sz w:val="22"/>
          <w:szCs w:val="22"/>
        </w:rPr>
        <w:t xml:space="preserve">where the person is an employee of the organisation, </w:t>
      </w:r>
    </w:p>
    <w:p w14:paraId="4F71E703" w14:textId="77777777" w:rsidR="005F0FA4" w:rsidRPr="005F0FA4" w:rsidRDefault="005F0FA4" w:rsidP="005F0FA4">
      <w:pPr>
        <w:numPr>
          <w:ilvl w:val="1"/>
          <w:numId w:val="7"/>
        </w:numPr>
        <w:spacing w:before="60" w:after="120" w:line="276" w:lineRule="auto"/>
        <w:contextualSpacing/>
        <w:rPr>
          <w:rFonts w:asciiTheme="majorHAnsi" w:hAnsiTheme="majorHAnsi"/>
          <w:color w:val="000000"/>
          <w:sz w:val="22"/>
          <w:szCs w:val="22"/>
        </w:rPr>
      </w:pPr>
      <w:r w:rsidRPr="005F0FA4">
        <w:rPr>
          <w:rFonts w:asciiTheme="majorHAnsi" w:hAnsiTheme="majorHAnsi"/>
          <w:sz w:val="22"/>
          <w:szCs w:val="22"/>
        </w:rPr>
        <w:t>where a Board member or the ex-officio member of the Board has a role on the governing body of another organisation, where the activities of that other body may be in direct conflict or competition with the activities of Calisthenics Victoria Inc.</w:t>
      </w:r>
    </w:p>
    <w:p w14:paraId="5FB84544" w14:textId="77777777" w:rsidR="005F0FA4" w:rsidRPr="005F0FA4" w:rsidRDefault="005F0FA4" w:rsidP="005F0FA4">
      <w:pPr>
        <w:pStyle w:val="Heading2"/>
        <w:spacing w:line="276" w:lineRule="auto"/>
        <w:rPr>
          <w:rFonts w:asciiTheme="majorHAnsi" w:hAnsiTheme="majorHAnsi"/>
          <w:i w:val="0"/>
          <w:szCs w:val="22"/>
        </w:rPr>
      </w:pPr>
      <w:r w:rsidRPr="005F0FA4">
        <w:rPr>
          <w:rFonts w:asciiTheme="majorHAnsi" w:hAnsiTheme="majorHAnsi"/>
          <w:i w:val="0"/>
          <w:szCs w:val="22"/>
        </w:rPr>
        <w:t>Related Documents</w:t>
      </w:r>
    </w:p>
    <w:p w14:paraId="3B46201D" w14:textId="77777777" w:rsidR="005F0FA4" w:rsidRPr="005F0FA4" w:rsidRDefault="005F0FA4" w:rsidP="005F0FA4">
      <w:pPr>
        <w:numPr>
          <w:ilvl w:val="0"/>
          <w:numId w:val="6"/>
        </w:numPr>
        <w:spacing w:before="60" w:after="120" w:line="276" w:lineRule="auto"/>
        <w:contextualSpacing/>
        <w:rPr>
          <w:rFonts w:asciiTheme="majorHAnsi" w:hAnsiTheme="majorHAnsi"/>
          <w:sz w:val="22"/>
          <w:szCs w:val="22"/>
        </w:rPr>
      </w:pPr>
      <w:r w:rsidRPr="005F0FA4">
        <w:rPr>
          <w:rFonts w:asciiTheme="majorHAnsi" w:hAnsiTheme="majorHAnsi"/>
          <w:sz w:val="22"/>
          <w:szCs w:val="22"/>
        </w:rPr>
        <w:t>Code of Conduct</w:t>
      </w:r>
    </w:p>
    <w:p w14:paraId="0C4ACD48" w14:textId="77777777" w:rsidR="005F0FA4" w:rsidRDefault="005F0FA4" w:rsidP="005F0FA4">
      <w:pPr>
        <w:numPr>
          <w:ilvl w:val="0"/>
          <w:numId w:val="6"/>
        </w:numPr>
        <w:spacing w:before="60" w:after="120" w:line="276" w:lineRule="auto"/>
        <w:contextualSpacing/>
        <w:rPr>
          <w:rFonts w:asciiTheme="majorHAnsi" w:hAnsiTheme="majorHAnsi"/>
          <w:sz w:val="22"/>
          <w:szCs w:val="22"/>
        </w:rPr>
      </w:pPr>
      <w:r w:rsidRPr="005F0FA4">
        <w:rPr>
          <w:rFonts w:asciiTheme="majorHAnsi" w:hAnsiTheme="majorHAnsi"/>
          <w:sz w:val="22"/>
          <w:szCs w:val="22"/>
        </w:rPr>
        <w:t>Conflict of Interest Register</w:t>
      </w:r>
    </w:p>
    <w:p w14:paraId="3FB2FBA9" w14:textId="77777777" w:rsidR="005F0FA4" w:rsidRDefault="005F0FA4" w:rsidP="005F0FA4">
      <w:pPr>
        <w:spacing w:before="60" w:after="120" w:line="276" w:lineRule="auto"/>
        <w:contextualSpacing/>
        <w:rPr>
          <w:rFonts w:asciiTheme="majorHAnsi" w:hAnsiTheme="majorHAnsi"/>
          <w:sz w:val="22"/>
          <w:szCs w:val="22"/>
        </w:rPr>
      </w:pPr>
    </w:p>
    <w:p w14:paraId="5277D028" w14:textId="435AF4DC" w:rsidR="0068500B" w:rsidRPr="005F0FA4" w:rsidRDefault="005F0FA4" w:rsidP="005F0FA4">
      <w:pPr>
        <w:spacing w:before="60" w:after="120" w:line="276" w:lineRule="auto"/>
        <w:contextualSpacing/>
        <w:rPr>
          <w:rFonts w:asciiTheme="majorHAnsi" w:hAnsiTheme="majorHAnsi"/>
          <w:b/>
          <w:sz w:val="22"/>
          <w:szCs w:val="22"/>
        </w:rPr>
      </w:pPr>
      <w:r w:rsidRPr="005F0FA4">
        <w:rPr>
          <w:rFonts w:asciiTheme="majorHAnsi" w:hAnsiTheme="majorHAnsi"/>
          <w:b/>
          <w:sz w:val="22"/>
          <w:szCs w:val="22"/>
        </w:rPr>
        <w:t>END.</w:t>
      </w:r>
    </w:p>
    <w:sectPr w:rsidR="0068500B" w:rsidRPr="005F0FA4" w:rsidSect="00826D89">
      <w:pgSz w:w="11900" w:h="16840"/>
      <w:pgMar w:top="1134" w:right="1134" w:bottom="1134" w:left="1134" w:header="708" w:footer="9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DC51D" w14:textId="77777777" w:rsidR="00C72AB7" w:rsidRDefault="00C72AB7" w:rsidP="00440A71">
      <w:r>
        <w:separator/>
      </w:r>
    </w:p>
  </w:endnote>
  <w:endnote w:type="continuationSeparator" w:id="0">
    <w:p w14:paraId="6A7D68C6" w14:textId="77777777" w:rsidR="00C72AB7" w:rsidRDefault="00C72AB7" w:rsidP="0044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EXNZHF+Arial-BoldMT">
    <w:altName w:val="Arial"/>
    <w:panose1 w:val="00000000000000000000"/>
    <w:charset w:val="00"/>
    <w:family w:val="swiss"/>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CE2D3" w14:textId="77777777" w:rsidR="00C72AB7" w:rsidRDefault="00C72AB7" w:rsidP="00440A71">
      <w:r>
        <w:separator/>
      </w:r>
    </w:p>
  </w:footnote>
  <w:footnote w:type="continuationSeparator" w:id="0">
    <w:p w14:paraId="2179950B" w14:textId="77777777" w:rsidR="00C72AB7" w:rsidRDefault="00C72AB7" w:rsidP="00440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31909"/>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26497778"/>
    <w:multiLevelType w:val="hybridMultilevel"/>
    <w:tmpl w:val="4A7CF626"/>
    <w:lvl w:ilvl="0" w:tplc="A3B4A40E">
      <w:start w:val="1"/>
      <w:numFmt w:val="decimal"/>
      <w:lvlText w:val="%1."/>
      <w:lvlJc w:val="left"/>
      <w:pPr>
        <w:ind w:left="360" w:hanging="360"/>
      </w:pPr>
      <w:rPr>
        <w:rFonts w:asciiTheme="majorHAnsi" w:hAnsiTheme="majorHAns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09F6474"/>
    <w:multiLevelType w:val="hybridMultilevel"/>
    <w:tmpl w:val="7BF62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0930BD"/>
    <w:multiLevelType w:val="hybridMultilevel"/>
    <w:tmpl w:val="7A6CFDDC"/>
    <w:lvl w:ilvl="0" w:tplc="25FEF6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7F3764"/>
    <w:multiLevelType w:val="hybridMultilevel"/>
    <w:tmpl w:val="AE2C3C06"/>
    <w:lvl w:ilvl="0" w:tplc="21C0114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F1D27A6"/>
    <w:multiLevelType w:val="multilevel"/>
    <w:tmpl w:val="7DB0561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69994E5E"/>
    <w:multiLevelType w:val="hybridMultilevel"/>
    <w:tmpl w:val="BE60EE72"/>
    <w:lvl w:ilvl="0" w:tplc="31AE5A9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720C17"/>
    <w:multiLevelType w:val="hybridMultilevel"/>
    <w:tmpl w:val="25DCB596"/>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E8"/>
    <w:rsid w:val="000E1F8A"/>
    <w:rsid w:val="002A6994"/>
    <w:rsid w:val="002F466F"/>
    <w:rsid w:val="00381E79"/>
    <w:rsid w:val="003D20B3"/>
    <w:rsid w:val="004340E8"/>
    <w:rsid w:val="00437A82"/>
    <w:rsid w:val="00440A71"/>
    <w:rsid w:val="00493D8C"/>
    <w:rsid w:val="005F0FA4"/>
    <w:rsid w:val="0068500B"/>
    <w:rsid w:val="00725FF3"/>
    <w:rsid w:val="00826D89"/>
    <w:rsid w:val="00844638"/>
    <w:rsid w:val="00971C04"/>
    <w:rsid w:val="009F78AE"/>
    <w:rsid w:val="00A54960"/>
    <w:rsid w:val="00A61B90"/>
    <w:rsid w:val="00B00F3F"/>
    <w:rsid w:val="00B17628"/>
    <w:rsid w:val="00B45F95"/>
    <w:rsid w:val="00BB7728"/>
    <w:rsid w:val="00BE1739"/>
    <w:rsid w:val="00C5506B"/>
    <w:rsid w:val="00C72AB7"/>
    <w:rsid w:val="00C730DE"/>
    <w:rsid w:val="00D72053"/>
    <w:rsid w:val="00D91CDA"/>
    <w:rsid w:val="00F06B64"/>
    <w:rsid w:val="00F40AA1"/>
    <w:rsid w:val="00FB5D58"/>
    <w:rsid w:val="00FC3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5EFF8F"/>
  <w14:defaultImageDpi w14:val="300"/>
  <w15:docId w15:val="{E9A2704E-0B50-4669-9C4C-E12B729F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0E8"/>
    <w:rPr>
      <w:lang w:val="en-AU"/>
    </w:rPr>
  </w:style>
  <w:style w:type="paragraph" w:styleId="Heading2">
    <w:name w:val="heading 2"/>
    <w:basedOn w:val="Normal"/>
    <w:next w:val="Normal"/>
    <w:link w:val="Heading2Char"/>
    <w:qFormat/>
    <w:rsid w:val="0068500B"/>
    <w:pPr>
      <w:keepNext/>
      <w:outlineLvl w:val="1"/>
    </w:pPr>
    <w:rPr>
      <w:rFonts w:ascii="Arial" w:eastAsia="Times New Roman" w:hAnsi="Arial" w:cs="Times New Roman"/>
      <w:b/>
      <w:i/>
      <w:sz w:val="22"/>
      <w:szCs w:val="20"/>
      <w:lang w:eastAsia="en-AU"/>
    </w:rPr>
  </w:style>
  <w:style w:type="paragraph" w:styleId="Heading3">
    <w:name w:val="heading 3"/>
    <w:basedOn w:val="Normal"/>
    <w:next w:val="Normal"/>
    <w:link w:val="Heading3Char"/>
    <w:qFormat/>
    <w:rsid w:val="0068500B"/>
    <w:pPr>
      <w:keepNext/>
      <w:jc w:val="both"/>
      <w:outlineLvl w:val="2"/>
    </w:pPr>
    <w:rPr>
      <w:rFonts w:ascii="Arial" w:eastAsia="Times New Roman" w:hAnsi="Arial" w:cs="Times New Roman"/>
      <w:b/>
      <w:i/>
      <w:sz w:val="2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0E8"/>
    <w:pPr>
      <w:ind w:left="720"/>
      <w:contextualSpacing/>
    </w:pPr>
  </w:style>
  <w:style w:type="character" w:styleId="CommentReference">
    <w:name w:val="annotation reference"/>
    <w:basedOn w:val="DefaultParagraphFont"/>
    <w:uiPriority w:val="99"/>
    <w:semiHidden/>
    <w:unhideWhenUsed/>
    <w:rsid w:val="004340E8"/>
    <w:rPr>
      <w:sz w:val="18"/>
      <w:szCs w:val="18"/>
    </w:rPr>
  </w:style>
  <w:style w:type="paragraph" w:styleId="CommentText">
    <w:name w:val="annotation text"/>
    <w:basedOn w:val="Normal"/>
    <w:link w:val="CommentTextChar"/>
    <w:uiPriority w:val="99"/>
    <w:semiHidden/>
    <w:unhideWhenUsed/>
    <w:rsid w:val="004340E8"/>
  </w:style>
  <w:style w:type="character" w:customStyle="1" w:styleId="CommentTextChar">
    <w:name w:val="Comment Text Char"/>
    <w:basedOn w:val="DefaultParagraphFont"/>
    <w:link w:val="CommentText"/>
    <w:uiPriority w:val="99"/>
    <w:semiHidden/>
    <w:rsid w:val="004340E8"/>
    <w:rPr>
      <w:lang w:val="en-AU"/>
    </w:rPr>
  </w:style>
  <w:style w:type="paragraph" w:styleId="BalloonText">
    <w:name w:val="Balloon Text"/>
    <w:basedOn w:val="Normal"/>
    <w:link w:val="BalloonTextChar"/>
    <w:uiPriority w:val="99"/>
    <w:semiHidden/>
    <w:unhideWhenUsed/>
    <w:rsid w:val="004340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40E8"/>
    <w:rPr>
      <w:rFonts w:ascii="Lucida Grande" w:hAnsi="Lucida Grande" w:cs="Lucida Grande"/>
      <w:sz w:val="18"/>
      <w:szCs w:val="18"/>
      <w:lang w:val="en-AU"/>
    </w:rPr>
  </w:style>
  <w:style w:type="paragraph" w:styleId="Header">
    <w:name w:val="header"/>
    <w:basedOn w:val="Normal"/>
    <w:link w:val="HeaderChar"/>
    <w:uiPriority w:val="99"/>
    <w:unhideWhenUsed/>
    <w:rsid w:val="00440A71"/>
    <w:pPr>
      <w:tabs>
        <w:tab w:val="center" w:pos="4513"/>
        <w:tab w:val="right" w:pos="9026"/>
      </w:tabs>
    </w:pPr>
  </w:style>
  <w:style w:type="character" w:customStyle="1" w:styleId="HeaderChar">
    <w:name w:val="Header Char"/>
    <w:basedOn w:val="DefaultParagraphFont"/>
    <w:link w:val="Header"/>
    <w:uiPriority w:val="99"/>
    <w:rsid w:val="00440A71"/>
    <w:rPr>
      <w:lang w:val="en-AU"/>
    </w:rPr>
  </w:style>
  <w:style w:type="paragraph" w:styleId="Footer">
    <w:name w:val="footer"/>
    <w:basedOn w:val="Normal"/>
    <w:link w:val="FooterChar"/>
    <w:uiPriority w:val="99"/>
    <w:unhideWhenUsed/>
    <w:rsid w:val="00440A71"/>
    <w:pPr>
      <w:tabs>
        <w:tab w:val="center" w:pos="4513"/>
        <w:tab w:val="right" w:pos="9026"/>
      </w:tabs>
    </w:pPr>
  </w:style>
  <w:style w:type="character" w:customStyle="1" w:styleId="FooterChar">
    <w:name w:val="Footer Char"/>
    <w:basedOn w:val="DefaultParagraphFont"/>
    <w:link w:val="Footer"/>
    <w:uiPriority w:val="99"/>
    <w:rsid w:val="00440A71"/>
    <w:rPr>
      <w:lang w:val="en-AU"/>
    </w:rPr>
  </w:style>
  <w:style w:type="paragraph" w:styleId="CommentSubject">
    <w:name w:val="annotation subject"/>
    <w:basedOn w:val="CommentText"/>
    <w:next w:val="CommentText"/>
    <w:link w:val="CommentSubjectChar"/>
    <w:uiPriority w:val="99"/>
    <w:semiHidden/>
    <w:unhideWhenUsed/>
    <w:rsid w:val="00381E79"/>
    <w:rPr>
      <w:b/>
      <w:bCs/>
      <w:sz w:val="20"/>
      <w:szCs w:val="20"/>
    </w:rPr>
  </w:style>
  <w:style w:type="character" w:customStyle="1" w:styleId="CommentSubjectChar">
    <w:name w:val="Comment Subject Char"/>
    <w:basedOn w:val="CommentTextChar"/>
    <w:link w:val="CommentSubject"/>
    <w:uiPriority w:val="99"/>
    <w:semiHidden/>
    <w:rsid w:val="00381E79"/>
    <w:rPr>
      <w:b/>
      <w:bCs/>
      <w:sz w:val="20"/>
      <w:szCs w:val="20"/>
      <w:lang w:val="en-AU"/>
    </w:rPr>
  </w:style>
  <w:style w:type="paragraph" w:styleId="Revision">
    <w:name w:val="Revision"/>
    <w:hidden/>
    <w:uiPriority w:val="99"/>
    <w:semiHidden/>
    <w:rsid w:val="00381E79"/>
    <w:rPr>
      <w:lang w:val="en-AU"/>
    </w:rPr>
  </w:style>
  <w:style w:type="table" w:styleId="TableGrid">
    <w:name w:val="Table Grid"/>
    <w:basedOn w:val="TableNormal"/>
    <w:uiPriority w:val="59"/>
    <w:rsid w:val="002A6994"/>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uiPriority w:val="99"/>
    <w:rsid w:val="00493D8C"/>
    <w:pPr>
      <w:widowControl w:val="0"/>
      <w:autoSpaceDE w:val="0"/>
      <w:autoSpaceDN w:val="0"/>
      <w:adjustRightInd w:val="0"/>
    </w:pPr>
    <w:rPr>
      <w:rFonts w:ascii="EXNZHF+Arial-BoldMT" w:hAnsi="EXNZHF+Arial-BoldMT"/>
      <w:lang w:eastAsia="en-AU"/>
    </w:rPr>
  </w:style>
  <w:style w:type="paragraph" w:customStyle="1" w:styleId="CM1">
    <w:name w:val="CM1"/>
    <w:basedOn w:val="Normal"/>
    <w:next w:val="Normal"/>
    <w:uiPriority w:val="99"/>
    <w:rsid w:val="00F40AA1"/>
    <w:pPr>
      <w:widowControl w:val="0"/>
      <w:autoSpaceDE w:val="0"/>
      <w:autoSpaceDN w:val="0"/>
      <w:adjustRightInd w:val="0"/>
      <w:spacing w:line="276" w:lineRule="atLeast"/>
    </w:pPr>
    <w:rPr>
      <w:rFonts w:ascii="EXNZHF+Arial-BoldMT" w:hAnsi="EXNZHF+Arial-BoldMT"/>
      <w:lang w:eastAsia="en-AU"/>
    </w:rPr>
  </w:style>
  <w:style w:type="character" w:customStyle="1" w:styleId="Heading2Char">
    <w:name w:val="Heading 2 Char"/>
    <w:basedOn w:val="DefaultParagraphFont"/>
    <w:link w:val="Heading2"/>
    <w:rsid w:val="0068500B"/>
    <w:rPr>
      <w:rFonts w:ascii="Arial" w:eastAsia="Times New Roman" w:hAnsi="Arial" w:cs="Times New Roman"/>
      <w:b/>
      <w:i/>
      <w:sz w:val="22"/>
      <w:szCs w:val="20"/>
      <w:lang w:val="en-AU" w:eastAsia="en-AU"/>
    </w:rPr>
  </w:style>
  <w:style w:type="character" w:customStyle="1" w:styleId="Heading3Char">
    <w:name w:val="Heading 3 Char"/>
    <w:basedOn w:val="DefaultParagraphFont"/>
    <w:link w:val="Heading3"/>
    <w:rsid w:val="0068500B"/>
    <w:rPr>
      <w:rFonts w:ascii="Arial" w:eastAsia="Times New Roman" w:hAnsi="Arial" w:cs="Times New Roman"/>
      <w:b/>
      <w:i/>
      <w:sz w:val="22"/>
      <w:szCs w:val="20"/>
      <w:lang w:val="en-AU" w:eastAsia="en-AU"/>
    </w:rPr>
  </w:style>
  <w:style w:type="paragraph" w:styleId="BodyText">
    <w:name w:val="Body Text"/>
    <w:basedOn w:val="Normal"/>
    <w:link w:val="BodyTextChar"/>
    <w:rsid w:val="0068500B"/>
    <w:pPr>
      <w:jc w:val="both"/>
    </w:pPr>
    <w:rPr>
      <w:rFonts w:ascii="Arial" w:eastAsia="Times New Roman" w:hAnsi="Arial" w:cs="Times New Roman"/>
      <w:sz w:val="22"/>
      <w:szCs w:val="20"/>
      <w:lang w:eastAsia="en-AU"/>
    </w:rPr>
  </w:style>
  <w:style w:type="character" w:customStyle="1" w:styleId="BodyTextChar">
    <w:name w:val="Body Text Char"/>
    <w:basedOn w:val="DefaultParagraphFont"/>
    <w:link w:val="BodyText"/>
    <w:rsid w:val="0068500B"/>
    <w:rPr>
      <w:rFonts w:ascii="Arial" w:eastAsia="Times New Roman" w:hAnsi="Arial" w:cs="Times New Roman"/>
      <w:sz w:val="22"/>
      <w:szCs w:val="20"/>
      <w:lang w:val="en-AU" w:eastAsia="en-AU"/>
    </w:rPr>
  </w:style>
  <w:style w:type="paragraph" w:styleId="BodyText2">
    <w:name w:val="Body Text 2"/>
    <w:basedOn w:val="Normal"/>
    <w:link w:val="BodyText2Char"/>
    <w:rsid w:val="0068500B"/>
    <w:rPr>
      <w:rFonts w:ascii="Arial" w:eastAsia="Times New Roman" w:hAnsi="Arial" w:cs="Times New Roman"/>
      <w:sz w:val="22"/>
      <w:szCs w:val="20"/>
      <w:lang w:eastAsia="en-AU"/>
    </w:rPr>
  </w:style>
  <w:style w:type="character" w:customStyle="1" w:styleId="BodyText2Char">
    <w:name w:val="Body Text 2 Char"/>
    <w:basedOn w:val="DefaultParagraphFont"/>
    <w:link w:val="BodyText2"/>
    <w:rsid w:val="0068500B"/>
    <w:rPr>
      <w:rFonts w:ascii="Arial" w:eastAsia="Times New Roman" w:hAnsi="Arial" w:cs="Times New Roman"/>
      <w:sz w:val="22"/>
      <w:szCs w:val="20"/>
      <w:lang w:val="en-AU" w:eastAsia="en-AU"/>
    </w:rPr>
  </w:style>
  <w:style w:type="paragraph" w:styleId="Title">
    <w:name w:val="Title"/>
    <w:basedOn w:val="Normal"/>
    <w:link w:val="TitleChar"/>
    <w:qFormat/>
    <w:rsid w:val="002F466F"/>
    <w:pPr>
      <w:spacing w:line="360" w:lineRule="auto"/>
      <w:jc w:val="center"/>
    </w:pPr>
    <w:rPr>
      <w:rFonts w:ascii="Britannic Bold" w:eastAsia="Times New Roman" w:hAnsi="Britannic Bold" w:cs="Times New Roman"/>
      <w:b/>
      <w:sz w:val="36"/>
      <w:szCs w:val="20"/>
      <w:u w:val="single"/>
      <w:lang w:val="en-US"/>
    </w:rPr>
  </w:style>
  <w:style w:type="character" w:customStyle="1" w:styleId="TitleChar">
    <w:name w:val="Title Char"/>
    <w:basedOn w:val="DefaultParagraphFont"/>
    <w:link w:val="Title"/>
    <w:rsid w:val="002F466F"/>
    <w:rPr>
      <w:rFonts w:ascii="Britannic Bold" w:eastAsia="Times New Roman" w:hAnsi="Britannic Bold" w:cs="Times New Roman"/>
      <w:b/>
      <w:sz w:val="36"/>
      <w:szCs w:val="20"/>
      <w:u w:val="single"/>
    </w:rPr>
  </w:style>
  <w:style w:type="paragraph" w:styleId="NoSpacing">
    <w:name w:val="No Spacing"/>
    <w:link w:val="NoSpacingChar"/>
    <w:uiPriority w:val="1"/>
    <w:qFormat/>
    <w:rsid w:val="00826D89"/>
    <w:rPr>
      <w:sz w:val="22"/>
      <w:szCs w:val="22"/>
    </w:rPr>
  </w:style>
  <w:style w:type="character" w:customStyle="1" w:styleId="NoSpacingChar">
    <w:name w:val="No Spacing Char"/>
    <w:basedOn w:val="DefaultParagraphFont"/>
    <w:link w:val="NoSpacing"/>
    <w:uiPriority w:val="1"/>
    <w:rsid w:val="00826D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Mernda Calisthenics Conflict of interest procedure</dc:title>
  <dc:subject/>
  <dc:creator>Stephanie Millar</dc:creator>
  <cp:keywords/>
  <dc:description/>
  <cp:lastModifiedBy>CHERIE ZEALLEY</cp:lastModifiedBy>
  <cp:revision>4</cp:revision>
  <dcterms:created xsi:type="dcterms:W3CDTF">2019-03-02T04:20:00Z</dcterms:created>
  <dcterms:modified xsi:type="dcterms:W3CDTF">2019-03-02T07:15:00Z</dcterms:modified>
</cp:coreProperties>
</file>